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8B4B511" w:rsidR="00E90E49" w:rsidRPr="00F3596B" w:rsidRDefault="00E90E49" w:rsidP="00C663D3">
      <w:pPr>
        <w:pStyle w:val="BodyText"/>
        <w:rPr>
          <w:sz w:val="32"/>
          <w:szCs w:val="32"/>
          <w:highlight w:val="yellow"/>
        </w:rPr>
      </w:pPr>
      <w:r w:rsidRPr="000D5566">
        <w:rPr>
          <w:b/>
          <w:bCs/>
          <w:sz w:val="28"/>
          <w:szCs w:val="32"/>
        </w:rPr>
        <w:t>3GPP TSG-RAN WG</w:t>
      </w:r>
      <w:r w:rsidR="008F1C4E" w:rsidRPr="000D5566">
        <w:rPr>
          <w:b/>
          <w:bCs/>
          <w:sz w:val="28"/>
          <w:szCs w:val="32"/>
        </w:rPr>
        <w:t>1</w:t>
      </w:r>
      <w:r w:rsidRPr="000D5566">
        <w:rPr>
          <w:b/>
          <w:bCs/>
          <w:sz w:val="28"/>
          <w:szCs w:val="32"/>
        </w:rPr>
        <w:t xml:space="preserve"> </w:t>
      </w:r>
      <w:r w:rsidR="008F1C4E" w:rsidRPr="000D5566">
        <w:rPr>
          <w:b/>
          <w:bCs/>
          <w:sz w:val="28"/>
          <w:szCs w:val="32"/>
        </w:rPr>
        <w:t xml:space="preserve">Meeting </w:t>
      </w:r>
      <w:r w:rsidRPr="00826E20">
        <w:rPr>
          <w:b/>
          <w:bCs/>
          <w:sz w:val="28"/>
          <w:szCs w:val="32"/>
        </w:rPr>
        <w:t>#</w:t>
      </w:r>
      <w:r w:rsidR="00D66AD1" w:rsidRPr="00826E20">
        <w:rPr>
          <w:b/>
          <w:bCs/>
          <w:sz w:val="28"/>
          <w:szCs w:val="32"/>
        </w:rPr>
        <w:t>1</w:t>
      </w:r>
      <w:r w:rsidR="000D5566" w:rsidRPr="00826E20">
        <w:rPr>
          <w:b/>
          <w:bCs/>
          <w:sz w:val="28"/>
          <w:szCs w:val="32"/>
        </w:rPr>
        <w:t>1</w:t>
      </w:r>
      <w:r w:rsidR="00826E20" w:rsidRPr="00826E20">
        <w:rPr>
          <w:b/>
          <w:bCs/>
          <w:sz w:val="28"/>
          <w:szCs w:val="32"/>
        </w:rPr>
        <w:t>0</w:t>
      </w:r>
      <w:r w:rsidR="000D5566">
        <w:rPr>
          <w:b/>
          <w:bCs/>
          <w:sz w:val="28"/>
          <w:szCs w:val="32"/>
        </w:rPr>
        <w:tab/>
      </w:r>
      <w:r w:rsidR="000D5566">
        <w:rPr>
          <w:b/>
          <w:bCs/>
          <w:sz w:val="28"/>
          <w:szCs w:val="32"/>
        </w:rPr>
        <w:tab/>
      </w:r>
      <w:r w:rsidR="000D5566">
        <w:rPr>
          <w:b/>
          <w:bCs/>
          <w:sz w:val="28"/>
          <w:szCs w:val="32"/>
        </w:rPr>
        <w:tab/>
      </w:r>
      <w:r w:rsidR="000D5566">
        <w:rPr>
          <w:b/>
          <w:bCs/>
          <w:sz w:val="28"/>
          <w:szCs w:val="32"/>
        </w:rPr>
        <w:tab/>
      </w:r>
      <w:r w:rsidR="000D5566">
        <w:rPr>
          <w:b/>
          <w:bCs/>
          <w:sz w:val="28"/>
          <w:szCs w:val="32"/>
        </w:rPr>
        <w:tab/>
      </w:r>
      <w:r w:rsidR="00091557" w:rsidRPr="000D5566">
        <w:rPr>
          <w:b/>
          <w:bCs/>
          <w:sz w:val="32"/>
          <w:szCs w:val="32"/>
        </w:rPr>
        <w:t>R</w:t>
      </w:r>
      <w:r w:rsidR="008F1C4E" w:rsidRPr="000D5566">
        <w:rPr>
          <w:b/>
          <w:bCs/>
          <w:sz w:val="32"/>
          <w:szCs w:val="32"/>
        </w:rPr>
        <w:t>1</w:t>
      </w:r>
      <w:r w:rsidR="00091557" w:rsidRPr="000D5566">
        <w:rPr>
          <w:b/>
          <w:bCs/>
          <w:sz w:val="32"/>
          <w:szCs w:val="32"/>
        </w:rPr>
        <w:t>-</w:t>
      </w:r>
      <w:r w:rsidR="00D66AD1" w:rsidRPr="000D5566">
        <w:rPr>
          <w:b/>
          <w:bCs/>
          <w:sz w:val="32"/>
          <w:szCs w:val="32"/>
        </w:rPr>
        <w:t>2</w:t>
      </w:r>
      <w:r w:rsidR="000636CA">
        <w:rPr>
          <w:b/>
          <w:bCs/>
          <w:sz w:val="32"/>
          <w:szCs w:val="32"/>
        </w:rPr>
        <w:t>207673</w:t>
      </w:r>
    </w:p>
    <w:p w14:paraId="0CE7B7E6" w14:textId="577C7689" w:rsidR="00E90E49" w:rsidRPr="00826E20" w:rsidRDefault="00826E20" w:rsidP="00311702">
      <w:pPr>
        <w:pStyle w:val="3GPPHeader"/>
        <w:rPr>
          <w:sz w:val="22"/>
          <w:szCs w:val="20"/>
        </w:rPr>
      </w:pPr>
      <w:r w:rsidRPr="00222A7E">
        <w:rPr>
          <w:sz w:val="22"/>
          <w:szCs w:val="20"/>
        </w:rPr>
        <w:t>Toulouse, France, August 22</w:t>
      </w:r>
      <w:r w:rsidRPr="00222A7E">
        <w:rPr>
          <w:sz w:val="22"/>
          <w:szCs w:val="20"/>
          <w:vertAlign w:val="superscript"/>
        </w:rPr>
        <w:t>nd</w:t>
      </w:r>
      <w:r w:rsidRPr="00222A7E">
        <w:rPr>
          <w:sz w:val="22"/>
          <w:szCs w:val="20"/>
        </w:rPr>
        <w:t xml:space="preserve"> – 26</w:t>
      </w:r>
      <w:r w:rsidRPr="00222A7E">
        <w:rPr>
          <w:sz w:val="22"/>
          <w:szCs w:val="20"/>
          <w:vertAlign w:val="superscript"/>
        </w:rPr>
        <w:t>th</w:t>
      </w:r>
      <w:r w:rsidRPr="00222A7E">
        <w:rPr>
          <w:sz w:val="22"/>
          <w:szCs w:val="20"/>
        </w:rPr>
        <w:t xml:space="preserve"> 2022</w:t>
      </w:r>
    </w:p>
    <w:p w14:paraId="3086AC07" w14:textId="77777777" w:rsidR="00E90E49" w:rsidRPr="00F3596B" w:rsidRDefault="00E90E49" w:rsidP="00357380">
      <w:pPr>
        <w:pStyle w:val="3GPPHeader"/>
      </w:pPr>
    </w:p>
    <w:p w14:paraId="3982483C" w14:textId="094AECAB" w:rsidR="00E90E49" w:rsidRPr="00783F20" w:rsidRDefault="00E90E49" w:rsidP="00311702">
      <w:pPr>
        <w:pStyle w:val="3GPPHeader"/>
        <w:rPr>
          <w:sz w:val="22"/>
        </w:rPr>
      </w:pPr>
      <w:r w:rsidRPr="00783F20">
        <w:rPr>
          <w:sz w:val="22"/>
        </w:rPr>
        <w:t>Agenda Item:</w:t>
      </w:r>
      <w:r w:rsidRPr="00783F20">
        <w:rPr>
          <w:sz w:val="22"/>
        </w:rPr>
        <w:tab/>
      </w:r>
      <w:r w:rsidR="00826E20" w:rsidRPr="00783F20">
        <w:rPr>
          <w:sz w:val="22"/>
        </w:rPr>
        <w:t>5</w:t>
      </w:r>
    </w:p>
    <w:p w14:paraId="5619E868" w14:textId="77777777" w:rsidR="00E90E49" w:rsidRPr="00F3596B" w:rsidRDefault="003D3C45" w:rsidP="00F64C2B">
      <w:pPr>
        <w:pStyle w:val="3GPPHeader"/>
        <w:rPr>
          <w:sz w:val="22"/>
        </w:rPr>
      </w:pPr>
      <w:r w:rsidRPr="00F3596B">
        <w:rPr>
          <w:sz w:val="22"/>
        </w:rPr>
        <w:t>Source:</w:t>
      </w:r>
      <w:r w:rsidR="00E90E49" w:rsidRPr="00F3596B">
        <w:rPr>
          <w:sz w:val="22"/>
        </w:rPr>
        <w:tab/>
      </w:r>
      <w:r w:rsidR="00F64C2B" w:rsidRPr="00F3596B">
        <w:rPr>
          <w:sz w:val="22"/>
        </w:rPr>
        <w:t>Ericsson</w:t>
      </w:r>
    </w:p>
    <w:p w14:paraId="3AF5C9FA" w14:textId="0CA8E38D" w:rsidR="00E90E49" w:rsidRPr="00F3596B" w:rsidRDefault="003D3C45" w:rsidP="00311702">
      <w:pPr>
        <w:pStyle w:val="3GPPHeader"/>
        <w:rPr>
          <w:sz w:val="22"/>
        </w:rPr>
      </w:pPr>
      <w:r w:rsidRPr="00F3596B">
        <w:rPr>
          <w:sz w:val="22"/>
        </w:rPr>
        <w:t>Title:</w:t>
      </w:r>
      <w:r w:rsidR="00E90E49" w:rsidRPr="00F3596B">
        <w:rPr>
          <w:sz w:val="22"/>
        </w:rPr>
        <w:tab/>
      </w:r>
      <w:r w:rsidR="00826E20">
        <w:rPr>
          <w:sz w:val="22"/>
        </w:rPr>
        <w:t xml:space="preserve">Discussion on RAN4 </w:t>
      </w:r>
      <w:r w:rsidR="00826E20" w:rsidRPr="00826E20">
        <w:rPr>
          <w:sz w:val="22"/>
        </w:rPr>
        <w:t xml:space="preserve">LS on range of power control parameters for </w:t>
      </w:r>
      <w:proofErr w:type="spellStart"/>
      <w:r w:rsidR="00826E20" w:rsidRPr="00826E20">
        <w:rPr>
          <w:sz w:val="22"/>
        </w:rPr>
        <w:t>eIAB</w:t>
      </w:r>
      <w:proofErr w:type="spellEnd"/>
    </w:p>
    <w:p w14:paraId="025260C1" w14:textId="77777777" w:rsidR="00E90E49" w:rsidRPr="00F3596B" w:rsidRDefault="00E90E49" w:rsidP="00D546FF">
      <w:pPr>
        <w:pStyle w:val="3GPPHeader"/>
        <w:rPr>
          <w:sz w:val="22"/>
        </w:rPr>
      </w:pPr>
      <w:r w:rsidRPr="00F3596B">
        <w:rPr>
          <w:sz w:val="22"/>
        </w:rPr>
        <w:t>Document for:</w:t>
      </w:r>
      <w:r w:rsidRPr="00F3596B">
        <w:rPr>
          <w:sz w:val="22"/>
        </w:rPr>
        <w:tab/>
      </w:r>
      <w:r w:rsidRPr="00826E20">
        <w:rPr>
          <w:sz w:val="22"/>
        </w:rPr>
        <w:t>Discussion, Decision</w:t>
      </w:r>
    </w:p>
    <w:p w14:paraId="2D5672ED" w14:textId="77777777" w:rsidR="00E90E49" w:rsidRPr="00F3596B" w:rsidRDefault="00E90E49" w:rsidP="00E90E49"/>
    <w:p w14:paraId="6883CB62" w14:textId="6D5A3D3C" w:rsidR="00E90E49" w:rsidRPr="00F3596B" w:rsidRDefault="00E90E49" w:rsidP="00D66AD1">
      <w:pPr>
        <w:pStyle w:val="Heading1"/>
        <w:rPr>
          <w:lang w:val="en-US"/>
        </w:rPr>
      </w:pPr>
      <w:r w:rsidRPr="00F3596B">
        <w:rPr>
          <w:lang w:val="en-US"/>
        </w:rPr>
        <w:t>Introduction</w:t>
      </w:r>
    </w:p>
    <w:p w14:paraId="231E64EA" w14:textId="28813D2D" w:rsidR="00477768" w:rsidRDefault="00826E20" w:rsidP="00CE0424">
      <w:pPr>
        <w:pStyle w:val="BodyText"/>
      </w:pPr>
      <w:r>
        <w:t xml:space="preserve">RAN4 has responded to the RAN1 LS to RAN4 regarding the range of power control parameters for </w:t>
      </w:r>
      <w:proofErr w:type="spellStart"/>
      <w:r>
        <w:t>eIAB</w:t>
      </w:r>
      <w:proofErr w:type="spellEnd"/>
      <w:r w:rsidR="00A45C09">
        <w:t xml:space="preserve"> </w:t>
      </w:r>
      <w:r w:rsidR="00A45C09">
        <w:fldChar w:fldCharType="begin"/>
      </w:r>
      <w:r w:rsidR="00A45C09">
        <w:instrText xml:space="preserve"> REF _Ref174151459 \r \h </w:instrText>
      </w:r>
      <w:r w:rsidR="00A45C09">
        <w:fldChar w:fldCharType="separate"/>
      </w:r>
      <w:r w:rsidR="004363F7">
        <w:t>[1]</w:t>
      </w:r>
      <w:r w:rsidR="00A45C09">
        <w:fldChar w:fldCharType="end"/>
      </w:r>
      <w:r>
        <w:t>. RAN1’s questions and RAN4’s responses to them are reprinted below:</w:t>
      </w:r>
    </w:p>
    <w:tbl>
      <w:tblPr>
        <w:tblStyle w:val="TableGrid"/>
        <w:tblW w:w="0" w:type="auto"/>
        <w:tblLook w:val="04A0" w:firstRow="1" w:lastRow="0" w:firstColumn="1" w:lastColumn="0" w:noHBand="0" w:noVBand="1"/>
      </w:tblPr>
      <w:tblGrid>
        <w:gridCol w:w="9629"/>
      </w:tblGrid>
      <w:tr w:rsidR="00826E20" w14:paraId="7C47228A" w14:textId="77777777" w:rsidTr="00826E20">
        <w:tc>
          <w:tcPr>
            <w:tcW w:w="9629" w:type="dxa"/>
          </w:tcPr>
          <w:p w14:paraId="04A555FD" w14:textId="77777777" w:rsidR="00826E20" w:rsidRPr="00826E20" w:rsidRDefault="00826E20" w:rsidP="00826E20">
            <w:pPr>
              <w:pStyle w:val="BodyText"/>
              <w:rPr>
                <w:b/>
                <w:bCs/>
                <w:sz w:val="20"/>
              </w:rPr>
            </w:pPr>
            <w:r w:rsidRPr="00826E20">
              <w:rPr>
                <w:b/>
                <w:bCs/>
                <w:sz w:val="20"/>
              </w:rPr>
              <w:t>Question 1: What is the impact of IAB-MT/DU if the DL TX power of parent IAB-DU causes basic PSD difference at the IAB node to be exceeded?</w:t>
            </w:r>
          </w:p>
          <w:p w14:paraId="55E07B8A" w14:textId="77777777" w:rsidR="00826E20" w:rsidRPr="00826E20" w:rsidRDefault="00826E20" w:rsidP="00826E20">
            <w:pPr>
              <w:pStyle w:val="BodyText"/>
              <w:rPr>
                <w:sz w:val="20"/>
              </w:rPr>
            </w:pPr>
            <w:r w:rsidRPr="00826E20">
              <w:rPr>
                <w:sz w:val="20"/>
              </w:rPr>
              <w:t>RAN4 reply to question 1: Under such condition, the high PSD signal may increase the noise level of low PSD signal and thus degrade the low PSD signal SNR. Hence the system performance can’t be guarantee since no verification on conditions beyond the minimum requirement.</w:t>
            </w:r>
          </w:p>
          <w:p w14:paraId="1FF0328E" w14:textId="77777777" w:rsidR="00826E20" w:rsidRPr="00826E20" w:rsidRDefault="00826E20" w:rsidP="00826E20">
            <w:pPr>
              <w:pStyle w:val="BodyText"/>
              <w:rPr>
                <w:b/>
                <w:bCs/>
                <w:sz w:val="20"/>
              </w:rPr>
            </w:pPr>
            <w:r w:rsidRPr="00826E20">
              <w:rPr>
                <w:b/>
                <w:bCs/>
                <w:sz w:val="20"/>
              </w:rPr>
              <w:t>Question 2: What should be considered for the range of DL TX adjustment (at the parent-node)?</w:t>
            </w:r>
          </w:p>
          <w:p w14:paraId="5CD027C2" w14:textId="77777777" w:rsidR="00826E20" w:rsidRPr="00826E20" w:rsidRDefault="00826E20" w:rsidP="00826E20">
            <w:pPr>
              <w:pStyle w:val="BodyText"/>
              <w:rPr>
                <w:sz w:val="20"/>
              </w:rPr>
            </w:pPr>
            <w:r w:rsidRPr="00826E20">
              <w:rPr>
                <w:sz w:val="20"/>
              </w:rPr>
              <w:t>RAN4 reply to Question 2: For the range of DL TX adjustment (at the parent-node) there is no additional consideration from RAN4 perspective beside what has already been replied in previous RAN4 LS R4-2203020 as RAN4 has no requirements for DL power control for average power.</w:t>
            </w:r>
          </w:p>
          <w:p w14:paraId="389223D4" w14:textId="77777777" w:rsidR="00826E20" w:rsidRPr="00826E20" w:rsidRDefault="00826E20" w:rsidP="00826E20">
            <w:pPr>
              <w:pStyle w:val="BodyText"/>
              <w:rPr>
                <w:b/>
                <w:bCs/>
                <w:sz w:val="20"/>
              </w:rPr>
            </w:pPr>
            <w:r w:rsidRPr="00826E20">
              <w:rPr>
                <w:b/>
                <w:bCs/>
                <w:sz w:val="20"/>
              </w:rPr>
              <w:t>Question 3: Whether guard symbols are required to support a DL TX power adjustment?</w:t>
            </w:r>
          </w:p>
          <w:p w14:paraId="379C2513" w14:textId="59755A80" w:rsidR="00826E20" w:rsidRDefault="00826E20" w:rsidP="00826E20">
            <w:pPr>
              <w:pStyle w:val="BodyText"/>
            </w:pPr>
            <w:r w:rsidRPr="00826E20">
              <w:rPr>
                <w:sz w:val="20"/>
              </w:rPr>
              <w:t>RAN4 reply to Question 3: For DL TX power adjustment between slots, guard symbols may or may not be needed pending on implementation. From RAN4 RF requirements perspective, there are no requirements related to DL Tx power adjustment between slots.</w:t>
            </w:r>
          </w:p>
        </w:tc>
      </w:tr>
    </w:tbl>
    <w:p w14:paraId="4941A067" w14:textId="11EB5B24" w:rsidR="00826E20" w:rsidRPr="00F3596B" w:rsidRDefault="005279A0" w:rsidP="005279A0">
      <w:pPr>
        <w:pStyle w:val="BodyText"/>
        <w:spacing w:before="240"/>
      </w:pPr>
      <w:r>
        <w:t>The above questions are follow-up questions to</w:t>
      </w:r>
      <w:r w:rsidR="00826E20">
        <w:t xml:space="preserve"> an earlier inquiry in the same matter by RAN1</w:t>
      </w:r>
      <w:r>
        <w:t xml:space="preserve"> for which</w:t>
      </w:r>
      <w:r w:rsidR="00826E20">
        <w:t xml:space="preserve"> RAN4 </w:t>
      </w:r>
      <w:r>
        <w:t xml:space="preserve">already has </w:t>
      </w:r>
      <w:r w:rsidR="00826E20">
        <w:t xml:space="preserve">provided </w:t>
      </w:r>
      <w:r>
        <w:t>answers</w:t>
      </w:r>
      <w:r w:rsidR="00A45C09">
        <w:t xml:space="preserve"> </w:t>
      </w:r>
      <w:r w:rsidR="00A45C09">
        <w:fldChar w:fldCharType="begin"/>
      </w:r>
      <w:r w:rsidR="00A45C09">
        <w:instrText xml:space="preserve"> REF _Ref110419388 \r \h </w:instrText>
      </w:r>
      <w:r w:rsidR="00A45C09">
        <w:fldChar w:fldCharType="separate"/>
      </w:r>
      <w:r w:rsidR="004363F7">
        <w:t>[2]</w:t>
      </w:r>
      <w:r w:rsidR="00A45C09">
        <w:fldChar w:fldCharType="end"/>
      </w:r>
      <w:r>
        <w:t>.</w:t>
      </w:r>
    </w:p>
    <w:p w14:paraId="2976622A" w14:textId="5989787F" w:rsidR="00DE222B" w:rsidRDefault="00DE222B" w:rsidP="005279A0">
      <w:pPr>
        <w:pStyle w:val="BodyText"/>
        <w:spacing w:before="240"/>
      </w:pPr>
      <w:r>
        <w:t xml:space="preserve">From the RAN1 perspective, the outstanding matter is the following agreement from RAN1 #108-e </w:t>
      </w:r>
      <w:r w:rsidR="006347EB">
        <w:fldChar w:fldCharType="begin"/>
      </w:r>
      <w:r w:rsidR="006347EB">
        <w:instrText xml:space="preserve"> REF _Ref111232525 \r \h </w:instrText>
      </w:r>
      <w:r w:rsidR="006347EB">
        <w:fldChar w:fldCharType="separate"/>
      </w:r>
      <w:r w:rsidR="004363F7">
        <w:t>[3]</w:t>
      </w:r>
      <w:r w:rsidR="006347EB">
        <w:fldChar w:fldCharType="end"/>
      </w:r>
      <w:r>
        <w:t>.</w:t>
      </w:r>
    </w:p>
    <w:tbl>
      <w:tblPr>
        <w:tblStyle w:val="TableGrid"/>
        <w:tblW w:w="0" w:type="auto"/>
        <w:tblLook w:val="04A0" w:firstRow="1" w:lastRow="0" w:firstColumn="1" w:lastColumn="0" w:noHBand="0" w:noVBand="1"/>
      </w:tblPr>
      <w:tblGrid>
        <w:gridCol w:w="9629"/>
      </w:tblGrid>
      <w:tr w:rsidR="00DE222B" w14:paraId="4EA317EE" w14:textId="77777777" w:rsidTr="00DE222B">
        <w:tc>
          <w:tcPr>
            <w:tcW w:w="9629" w:type="dxa"/>
          </w:tcPr>
          <w:p w14:paraId="61D9E345" w14:textId="77777777" w:rsidR="00DE222B" w:rsidRPr="00A47F12" w:rsidRDefault="00DE222B" w:rsidP="00DE222B">
            <w:pPr>
              <w:rPr>
                <w:b/>
                <w:bCs/>
                <w:sz w:val="20"/>
                <w:szCs w:val="20"/>
                <w:lang w:val="en-GB" w:eastAsia="ja-JP"/>
              </w:rPr>
            </w:pPr>
            <w:r w:rsidRPr="00A47F12">
              <w:rPr>
                <w:b/>
                <w:bCs/>
                <w:sz w:val="20"/>
                <w:szCs w:val="20"/>
                <w:highlight w:val="green"/>
                <w:lang w:val="en-GB" w:eastAsia="ja-JP"/>
              </w:rPr>
              <w:t>Agreement</w:t>
            </w:r>
          </w:p>
          <w:p w14:paraId="7EF0B7C9" w14:textId="77777777" w:rsidR="00DE222B" w:rsidRPr="00A47F12" w:rsidRDefault="00DE222B" w:rsidP="00DE222B">
            <w:pPr>
              <w:rPr>
                <w:sz w:val="20"/>
                <w:szCs w:val="20"/>
                <w:lang w:val="en-GB" w:eastAsia="ja-JP"/>
              </w:rPr>
            </w:pPr>
            <w:r w:rsidRPr="00A47F12">
              <w:rPr>
                <w:sz w:val="20"/>
                <w:szCs w:val="20"/>
                <w:lang w:val="en-GB" w:eastAsia="ja-JP"/>
              </w:rPr>
              <w:t>The desired/provided DL TX power adjustment can be indicated with 5 bits and a 1 dB resolution.</w:t>
            </w:r>
          </w:p>
          <w:p w14:paraId="5A24BE3D" w14:textId="73C7A588" w:rsidR="00DE222B" w:rsidRDefault="00DE222B" w:rsidP="00DE222B">
            <w:pPr>
              <w:pStyle w:val="BodyText"/>
              <w:spacing w:before="240"/>
            </w:pPr>
            <w:r w:rsidRPr="00A47F12">
              <w:rPr>
                <w:sz w:val="20"/>
                <w:szCs w:val="20"/>
                <w:lang w:val="en-GB" w:eastAsia="ja-JP"/>
              </w:rPr>
              <w:t>-</w:t>
            </w:r>
            <w:r w:rsidRPr="00A47F12">
              <w:rPr>
                <w:sz w:val="20"/>
                <w:szCs w:val="20"/>
                <w:lang w:val="en-GB" w:eastAsia="ja-JP"/>
              </w:rPr>
              <w:tab/>
              <w:t>FFS endpoints of the range</w:t>
            </w:r>
          </w:p>
        </w:tc>
      </w:tr>
    </w:tbl>
    <w:p w14:paraId="375DB89E" w14:textId="38E3C8BA" w:rsidR="00DE222B" w:rsidRPr="00F3596B" w:rsidRDefault="00DE222B" w:rsidP="005279A0">
      <w:pPr>
        <w:pStyle w:val="BodyText"/>
        <w:spacing w:before="240"/>
      </w:pPr>
      <w:r>
        <w:t>Below we present our views in this matter.</w:t>
      </w:r>
    </w:p>
    <w:p w14:paraId="60123794" w14:textId="14ED2FB8" w:rsidR="004000E8" w:rsidRPr="00F3596B" w:rsidRDefault="004000E8" w:rsidP="00CE0424">
      <w:pPr>
        <w:pStyle w:val="Heading1"/>
        <w:rPr>
          <w:lang w:val="en-US"/>
        </w:rPr>
      </w:pPr>
      <w:bookmarkStart w:id="0" w:name="_Ref178064866"/>
      <w:r w:rsidRPr="00F3596B">
        <w:rPr>
          <w:lang w:val="en-US"/>
        </w:rPr>
        <w:lastRenderedPageBreak/>
        <w:t>Discussion</w:t>
      </w:r>
      <w:bookmarkEnd w:id="0"/>
    </w:p>
    <w:p w14:paraId="6A4C5DD0" w14:textId="54E0C2FA" w:rsidR="00341E64" w:rsidRDefault="00341E64" w:rsidP="00341E64">
      <w:pPr>
        <w:rPr>
          <w:lang w:eastAsia="ja-JP"/>
        </w:rPr>
      </w:pPr>
      <w:r>
        <w:rPr>
          <w:lang w:eastAsia="ja-JP"/>
        </w:rPr>
        <w:t>Based on the above response, it is possible to draw some conclusions</w:t>
      </w:r>
      <w:r w:rsidR="00F3759E">
        <w:rPr>
          <w:lang w:eastAsia="ja-JP"/>
        </w:rPr>
        <w:t xml:space="preserve"> and make some observations and proposals for RAN1’s continued work</w:t>
      </w:r>
      <w:r>
        <w:rPr>
          <w:lang w:eastAsia="ja-JP"/>
        </w:rPr>
        <w:t>:</w:t>
      </w:r>
    </w:p>
    <w:p w14:paraId="6CD5997E" w14:textId="4C0A9B5B" w:rsidR="00341E64" w:rsidRDefault="00341E64" w:rsidP="00341E64">
      <w:pPr>
        <w:rPr>
          <w:lang w:eastAsia="ja-JP"/>
        </w:rPr>
      </w:pPr>
      <w:r>
        <w:rPr>
          <w:lang w:eastAsia="ja-JP"/>
        </w:rPr>
        <w:t xml:space="preserve">With respect to Q1, RAN4’s response indicates that DL Tx power adjustment may extend the </w:t>
      </w:r>
      <w:r w:rsidR="0028574C">
        <w:rPr>
          <w:lang w:eastAsia="ja-JP"/>
        </w:rPr>
        <w:t xml:space="preserve">range of </w:t>
      </w:r>
      <w:r>
        <w:rPr>
          <w:lang w:eastAsia="ja-JP"/>
        </w:rPr>
        <w:t>scenarios for which IAB may be deployed</w:t>
      </w:r>
      <w:r w:rsidR="004F5AC1">
        <w:rPr>
          <w:lang w:eastAsia="ja-JP"/>
        </w:rPr>
        <w:t xml:space="preserve"> and improve performance for others</w:t>
      </w:r>
      <w:r>
        <w:rPr>
          <w:lang w:eastAsia="ja-JP"/>
        </w:rPr>
        <w:t>.</w:t>
      </w:r>
    </w:p>
    <w:p w14:paraId="7C80A1DE" w14:textId="1045A4DE" w:rsidR="005B28CE" w:rsidRDefault="004F5AC1" w:rsidP="00745C25">
      <w:pPr>
        <w:pStyle w:val="Observation"/>
      </w:pPr>
      <w:bookmarkStart w:id="1" w:name="_Toc111234469"/>
      <w:r>
        <w:t>According to RAN4, DL Tx adjustment to limit Rx PSD variation may benefit reception performance</w:t>
      </w:r>
      <w:r w:rsidR="00AD72B3">
        <w:t xml:space="preserve"> and/or extend the deployment scenarios for IAB-nodes</w:t>
      </w:r>
      <w:r>
        <w:t>.</w:t>
      </w:r>
      <w:bookmarkEnd w:id="1"/>
    </w:p>
    <w:p w14:paraId="5B8276D3" w14:textId="1DCDED2E" w:rsidR="00341E64" w:rsidRDefault="00341E64" w:rsidP="00341E64">
      <w:pPr>
        <w:rPr>
          <w:lang w:eastAsia="ja-JP"/>
        </w:rPr>
      </w:pPr>
      <w:r>
        <w:rPr>
          <w:lang w:eastAsia="ja-JP"/>
        </w:rPr>
        <w:t xml:space="preserve">Regarding Q2, RAN4 replied in </w:t>
      </w:r>
      <w:r>
        <w:rPr>
          <w:lang w:eastAsia="ja-JP"/>
        </w:rPr>
        <w:fldChar w:fldCharType="begin"/>
      </w:r>
      <w:r>
        <w:rPr>
          <w:lang w:eastAsia="ja-JP"/>
        </w:rPr>
        <w:instrText xml:space="preserve"> REF _Ref110419388 \r \h </w:instrText>
      </w:r>
      <w:r>
        <w:rPr>
          <w:lang w:eastAsia="ja-JP"/>
        </w:rPr>
      </w:r>
      <w:r>
        <w:rPr>
          <w:lang w:eastAsia="ja-JP"/>
        </w:rPr>
        <w:fldChar w:fldCharType="separate"/>
      </w:r>
      <w:r w:rsidR="004363F7">
        <w:rPr>
          <w:lang w:eastAsia="ja-JP"/>
        </w:rPr>
        <w:t>[2]</w:t>
      </w:r>
      <w:r>
        <w:rPr>
          <w:lang w:eastAsia="ja-JP"/>
        </w:rPr>
        <w:fldChar w:fldCharType="end"/>
      </w:r>
      <w:r>
        <w:rPr>
          <w:lang w:eastAsia="ja-JP"/>
        </w:rPr>
        <w:t xml:space="preserve"> that the dynamic range of the IAB-MT is specified to 5 dB and 10 dB of the wide are and local area IAB-nodes, respectively. Considering </w:t>
      </w:r>
      <w:r w:rsidR="00466D92">
        <w:rPr>
          <w:lang w:eastAsia="ja-JP"/>
        </w:rPr>
        <w:t xml:space="preserve">Rel-17 IAB includes enhancements over Rel-16 IAB, specification updates that require HW changes should be kept at a minimum. This would point to a differentiated range of </w:t>
      </w:r>
      <w:r w:rsidR="00466D92">
        <w:rPr>
          <w:rFonts w:cs="Arial"/>
          <w:lang w:eastAsia="ja-JP"/>
        </w:rPr>
        <w:t>±</w:t>
      </w:r>
      <w:r w:rsidR="00466D92">
        <w:rPr>
          <w:lang w:eastAsia="ja-JP"/>
        </w:rPr>
        <w:t xml:space="preserve">5 dB for wide area nodes and </w:t>
      </w:r>
      <w:r w:rsidR="00466D92">
        <w:rPr>
          <w:rFonts w:cs="Arial"/>
          <w:lang w:eastAsia="ja-JP"/>
        </w:rPr>
        <w:t>±</w:t>
      </w:r>
      <w:r w:rsidR="00466D92">
        <w:rPr>
          <w:lang w:eastAsia="ja-JP"/>
        </w:rPr>
        <w:t>10 dB for local area nodes. However, the IAB-node requesting the DL Tx power adjustment may not know which IAB class its parent node belongs to. For that reason, a single range for both wide area nodes and local area nodes is advantageous. Fortunately, the parent node is not mandated to follow the requested DL Tx power control request but may respond with a DL Tx power control response that is within its own capabilities.</w:t>
      </w:r>
    </w:p>
    <w:p w14:paraId="56878A45" w14:textId="4DA4D393" w:rsidR="00F3759E" w:rsidRDefault="00F3759E" w:rsidP="00745C25">
      <w:pPr>
        <w:pStyle w:val="Proposal"/>
      </w:pPr>
      <w:bookmarkStart w:id="2" w:name="_Toc111234471"/>
      <w:r>
        <w:t>A single range of DL Tx power adjustment is specified for both wide area and local area IA nodes.</w:t>
      </w:r>
      <w:bookmarkEnd w:id="2"/>
    </w:p>
    <w:p w14:paraId="475597AD" w14:textId="69DF1B2C" w:rsidR="00F3759E" w:rsidRDefault="00F3759E" w:rsidP="006551E0">
      <w:pPr>
        <w:pStyle w:val="Proposal"/>
      </w:pPr>
      <w:bookmarkStart w:id="3" w:name="_Toc111234472"/>
      <w:r>
        <w:t xml:space="preserve">The range of the </w:t>
      </w:r>
      <w:r w:rsidRPr="00745C25">
        <w:t>D</w:t>
      </w:r>
      <w:r w:rsidRPr="006551E0">
        <w:t>L</w:t>
      </w:r>
      <w:r>
        <w:t xml:space="preserve"> Tx power adjustment is limited to </w:t>
      </w:r>
      <w:r w:rsidRPr="00F3759E">
        <w:t>±10 dB</w:t>
      </w:r>
      <w:r>
        <w:t>.</w:t>
      </w:r>
      <w:bookmarkEnd w:id="3"/>
    </w:p>
    <w:p w14:paraId="6B86FE02" w14:textId="4D77FCFF" w:rsidR="00341E64" w:rsidRDefault="00341E64" w:rsidP="00341E64">
      <w:pPr>
        <w:rPr>
          <w:lang w:eastAsia="ja-JP"/>
        </w:rPr>
      </w:pPr>
      <w:r>
        <w:rPr>
          <w:lang w:eastAsia="ja-JP"/>
        </w:rPr>
        <w:t xml:space="preserve">For Q3, it is apparent that the need for guard symbols is based on implementation. In our understanding, most gNB </w:t>
      </w:r>
      <w:proofErr w:type="gramStart"/>
      <w:r>
        <w:rPr>
          <w:lang w:eastAsia="ja-JP"/>
        </w:rPr>
        <w:t>are able to</w:t>
      </w:r>
      <w:proofErr w:type="gramEnd"/>
      <w:r>
        <w:rPr>
          <w:lang w:eastAsia="ja-JP"/>
        </w:rPr>
        <w:t xml:space="preserve"> manage power adjustments without the need for guard symbols</w:t>
      </w:r>
      <w:r w:rsidR="00AD72B3">
        <w:rPr>
          <w:lang w:eastAsia="ja-JP"/>
        </w:rPr>
        <w:t>, for which reason additional signaling at this point in time is not justified</w:t>
      </w:r>
      <w:r>
        <w:rPr>
          <w:lang w:eastAsia="ja-JP"/>
        </w:rPr>
        <w:t xml:space="preserve">. </w:t>
      </w:r>
      <w:r w:rsidR="00AD72B3">
        <w:rPr>
          <w:lang w:eastAsia="ja-JP"/>
        </w:rPr>
        <w:t>However, it is also our understanding that there already exists a guard symbol case applicable for this mode of operation, Case-1 MT Tx to Case-6 DU Tx.</w:t>
      </w:r>
    </w:p>
    <w:p w14:paraId="0F31A578" w14:textId="40B55A8D" w:rsidR="00AD72B3" w:rsidRDefault="00AD72B3" w:rsidP="004363F7">
      <w:pPr>
        <w:pStyle w:val="Observation"/>
      </w:pPr>
      <w:bookmarkStart w:id="4" w:name="_Toc111234470"/>
      <w:r>
        <w:t>The specification already supports signaling of guard symbols for DL Tx power adjustment.</w:t>
      </w:r>
      <w:bookmarkEnd w:id="4"/>
    </w:p>
    <w:p w14:paraId="3879E8F8" w14:textId="77777777" w:rsidR="00C473A5" w:rsidRPr="00F3596B" w:rsidRDefault="00C473A5">
      <w:pPr>
        <w:pStyle w:val="Heading1"/>
        <w:numPr>
          <w:ilvl w:val="0"/>
          <w:numId w:val="0"/>
        </w:numPr>
        <w:rPr>
          <w:lang w:val="en-US"/>
        </w:rPr>
        <w:sectPr w:rsidR="00C473A5" w:rsidRPr="00F3596B" w:rsidSect="00D66AD1">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p>
    <w:p w14:paraId="37EB5693" w14:textId="77777777" w:rsidR="00C01F33" w:rsidRPr="00F3596B" w:rsidRDefault="00C01F33" w:rsidP="00CE0424">
      <w:pPr>
        <w:pStyle w:val="Heading1"/>
        <w:rPr>
          <w:lang w:val="en-US"/>
        </w:rPr>
      </w:pPr>
      <w:r w:rsidRPr="00F3596B">
        <w:rPr>
          <w:lang w:val="en-US"/>
        </w:rPr>
        <w:lastRenderedPageBreak/>
        <w:t>Conclusion</w:t>
      </w:r>
    </w:p>
    <w:p w14:paraId="5A650F21" w14:textId="77777777" w:rsidR="008E065E" w:rsidRPr="00F3596B" w:rsidRDefault="008E065E" w:rsidP="008E065E">
      <w:pPr>
        <w:pStyle w:val="BodyText"/>
        <w:rPr>
          <w:b/>
          <w:bCs/>
        </w:rPr>
      </w:pPr>
      <w:r w:rsidRPr="00F3596B">
        <w:t xml:space="preserve">In </w:t>
      </w:r>
      <w:r w:rsidR="007729A2" w:rsidRPr="00F3596B">
        <w:t xml:space="preserve">the previous </w:t>
      </w:r>
      <w:r w:rsidRPr="00F3596B">
        <w:t>section</w:t>
      </w:r>
      <w:r w:rsidR="007729A2" w:rsidRPr="00F3596B">
        <w:t>s</w:t>
      </w:r>
      <w:r w:rsidRPr="00F3596B">
        <w:t xml:space="preserve"> we made the following observations:</w:t>
      </w:r>
      <w:r w:rsidR="00C93814" w:rsidRPr="00F3596B">
        <w:rPr>
          <w:b/>
          <w:bCs/>
        </w:rPr>
        <w:t xml:space="preserve"> </w:t>
      </w:r>
    </w:p>
    <w:p w14:paraId="04DE6760" w14:textId="4E11C785" w:rsidR="004363F7" w:rsidRDefault="006F6582" w:rsidP="00745C25">
      <w:pPr>
        <w:pStyle w:val="TableofFigures"/>
        <w:tabs>
          <w:tab w:val="right" w:leader="dot" w:pos="9629"/>
        </w:tabs>
        <w:jc w:val="both"/>
        <w:rPr>
          <w:rFonts w:asciiTheme="minorHAnsi" w:eastAsiaTheme="minorEastAsia" w:hAnsiTheme="minorHAnsi"/>
          <w:b w:val="0"/>
          <w:noProof/>
          <w:sz w:val="22"/>
          <w:lang w:val="en-SE" w:eastAsia="en-SE"/>
        </w:rPr>
      </w:pPr>
      <w:r w:rsidRPr="00F3596B">
        <w:rPr>
          <w:b w:val="0"/>
          <w:bCs/>
        </w:rPr>
        <w:fldChar w:fldCharType="begin"/>
      </w:r>
      <w:r w:rsidRPr="00F3596B">
        <w:rPr>
          <w:b w:val="0"/>
          <w:bCs/>
        </w:rPr>
        <w:instrText xml:space="preserve"> TOC \f O \n \h \z \t "Observation" \c </w:instrText>
      </w:r>
      <w:r w:rsidRPr="00F3596B">
        <w:rPr>
          <w:b w:val="0"/>
          <w:bCs/>
        </w:rPr>
        <w:fldChar w:fldCharType="separate"/>
      </w:r>
      <w:hyperlink w:anchor="_Toc111234469" w:history="1">
        <w:r w:rsidR="004363F7" w:rsidRPr="009B6C33">
          <w:rPr>
            <w:rStyle w:val="Hyperlink"/>
            <w:noProof/>
          </w:rPr>
          <w:t>Observation 1</w:t>
        </w:r>
        <w:r w:rsidR="004363F7">
          <w:rPr>
            <w:rFonts w:asciiTheme="minorHAnsi" w:eastAsiaTheme="minorEastAsia" w:hAnsiTheme="minorHAnsi"/>
            <w:b w:val="0"/>
            <w:noProof/>
            <w:sz w:val="22"/>
            <w:lang w:val="en-SE" w:eastAsia="en-SE"/>
          </w:rPr>
          <w:tab/>
        </w:r>
        <w:r w:rsidR="004363F7" w:rsidRPr="009B6C33">
          <w:rPr>
            <w:rStyle w:val="Hyperlink"/>
            <w:noProof/>
          </w:rPr>
          <w:t>According to RAN4, DL Tx adjustment to limit Rx PSD variation may benefit reception performance and/or extend the deployment scenarios for IAB-nodes.</w:t>
        </w:r>
      </w:hyperlink>
    </w:p>
    <w:p w14:paraId="63307F1A" w14:textId="3A43836B" w:rsidR="004363F7" w:rsidRDefault="004363F7" w:rsidP="00745C25">
      <w:pPr>
        <w:pStyle w:val="TableofFigures"/>
        <w:tabs>
          <w:tab w:val="right" w:leader="dot" w:pos="9629"/>
        </w:tabs>
        <w:jc w:val="both"/>
        <w:rPr>
          <w:rFonts w:asciiTheme="minorHAnsi" w:eastAsiaTheme="minorEastAsia" w:hAnsiTheme="minorHAnsi"/>
          <w:b w:val="0"/>
          <w:noProof/>
          <w:sz w:val="22"/>
          <w:lang w:val="en-SE" w:eastAsia="en-SE"/>
        </w:rPr>
      </w:pPr>
      <w:hyperlink w:anchor="_Toc111234470" w:history="1">
        <w:r w:rsidRPr="009B6C33">
          <w:rPr>
            <w:rStyle w:val="Hyperlink"/>
            <w:noProof/>
          </w:rPr>
          <w:t>Observation 2</w:t>
        </w:r>
        <w:r>
          <w:rPr>
            <w:rFonts w:asciiTheme="minorHAnsi" w:eastAsiaTheme="minorEastAsia" w:hAnsiTheme="minorHAnsi"/>
            <w:b w:val="0"/>
            <w:noProof/>
            <w:sz w:val="22"/>
            <w:lang w:val="en-SE" w:eastAsia="en-SE"/>
          </w:rPr>
          <w:tab/>
        </w:r>
        <w:r w:rsidRPr="009B6C33">
          <w:rPr>
            <w:rStyle w:val="Hyperlink"/>
            <w:noProof/>
          </w:rPr>
          <w:t>The specification already supports signaling of guard symbols for DL Tx power adjustment.</w:t>
        </w:r>
      </w:hyperlink>
    </w:p>
    <w:p w14:paraId="7D91EC5D" w14:textId="5468AD66" w:rsidR="006E1C82" w:rsidRPr="00F3596B" w:rsidRDefault="006F6582" w:rsidP="00745C25">
      <w:pPr>
        <w:pStyle w:val="BodyText"/>
        <w:rPr>
          <w:b/>
          <w:bCs/>
        </w:rPr>
      </w:pPr>
      <w:r w:rsidRPr="00F3596B">
        <w:rPr>
          <w:b/>
          <w:bCs/>
        </w:rPr>
        <w:fldChar w:fldCharType="end"/>
      </w:r>
    </w:p>
    <w:p w14:paraId="6225A1B8" w14:textId="77777777" w:rsidR="006E1C82" w:rsidRPr="00F3596B" w:rsidRDefault="008E065E" w:rsidP="00745C25">
      <w:pPr>
        <w:pStyle w:val="BodyText"/>
      </w:pPr>
      <w:r w:rsidRPr="00F3596B">
        <w:t xml:space="preserve">Based on the discussion in </w:t>
      </w:r>
      <w:r w:rsidR="007729A2" w:rsidRPr="00F3596B">
        <w:t xml:space="preserve">the previous </w:t>
      </w:r>
      <w:r w:rsidRPr="00F3596B">
        <w:t>section</w:t>
      </w:r>
      <w:r w:rsidR="007729A2" w:rsidRPr="00F3596B">
        <w:t>s</w:t>
      </w:r>
      <w:r w:rsidRPr="00F3596B">
        <w:t xml:space="preserve"> we propose the following:</w:t>
      </w:r>
    </w:p>
    <w:p w14:paraId="3CF7FCF0" w14:textId="77777777" w:rsidR="004363F7" w:rsidRDefault="006E1C82" w:rsidP="00745C25">
      <w:pPr>
        <w:pStyle w:val="TableofFigures"/>
        <w:tabs>
          <w:tab w:val="right" w:leader="dot" w:pos="9629"/>
        </w:tabs>
        <w:jc w:val="both"/>
        <w:rPr>
          <w:rFonts w:asciiTheme="minorHAnsi" w:eastAsiaTheme="minorEastAsia" w:hAnsiTheme="minorHAnsi"/>
          <w:b w:val="0"/>
          <w:noProof/>
          <w:sz w:val="22"/>
          <w:lang w:val="en-SE" w:eastAsia="en-SE"/>
        </w:rPr>
      </w:pPr>
      <w:r w:rsidRPr="00F3596B">
        <w:rPr>
          <w:b w:val="0"/>
          <w:bCs/>
        </w:rPr>
        <w:fldChar w:fldCharType="begin"/>
      </w:r>
      <w:r w:rsidRPr="00F3596B">
        <w:rPr>
          <w:b w:val="0"/>
          <w:bCs/>
        </w:rPr>
        <w:instrText xml:space="preserve"> TOC \n \h \z \t "Proposal" \c </w:instrText>
      </w:r>
      <w:r w:rsidRPr="00F3596B">
        <w:rPr>
          <w:b w:val="0"/>
          <w:bCs/>
        </w:rPr>
        <w:fldChar w:fldCharType="separate"/>
      </w:r>
      <w:hyperlink w:anchor="_Toc111234471" w:history="1">
        <w:r w:rsidR="004363F7" w:rsidRPr="00597A6C">
          <w:rPr>
            <w:rStyle w:val="Hyperlink"/>
            <w:noProof/>
          </w:rPr>
          <w:t>Proposal 1</w:t>
        </w:r>
        <w:r w:rsidR="004363F7">
          <w:rPr>
            <w:rFonts w:asciiTheme="minorHAnsi" w:eastAsiaTheme="minorEastAsia" w:hAnsiTheme="minorHAnsi"/>
            <w:b w:val="0"/>
            <w:noProof/>
            <w:sz w:val="22"/>
            <w:lang w:val="en-SE" w:eastAsia="en-SE"/>
          </w:rPr>
          <w:tab/>
        </w:r>
        <w:r w:rsidR="004363F7" w:rsidRPr="00597A6C">
          <w:rPr>
            <w:rStyle w:val="Hyperlink"/>
            <w:noProof/>
          </w:rPr>
          <w:t>A single range of DL Tx power adjustment is specified for both wide area and local area IA nodes.</w:t>
        </w:r>
      </w:hyperlink>
    </w:p>
    <w:p w14:paraId="10AF5B4E" w14:textId="77777777" w:rsidR="004363F7" w:rsidRDefault="004363F7" w:rsidP="00745C25">
      <w:pPr>
        <w:pStyle w:val="TableofFigures"/>
        <w:tabs>
          <w:tab w:val="right" w:leader="dot" w:pos="9629"/>
        </w:tabs>
        <w:jc w:val="both"/>
        <w:rPr>
          <w:rFonts w:asciiTheme="minorHAnsi" w:eastAsiaTheme="minorEastAsia" w:hAnsiTheme="minorHAnsi"/>
          <w:b w:val="0"/>
          <w:noProof/>
          <w:sz w:val="22"/>
          <w:lang w:val="en-SE" w:eastAsia="en-SE"/>
        </w:rPr>
      </w:pPr>
      <w:hyperlink w:anchor="_Toc111234472" w:history="1">
        <w:r w:rsidRPr="00597A6C">
          <w:rPr>
            <w:rStyle w:val="Hyperlink"/>
            <w:noProof/>
          </w:rPr>
          <w:t>Proposal 2</w:t>
        </w:r>
        <w:r>
          <w:rPr>
            <w:rFonts w:asciiTheme="minorHAnsi" w:eastAsiaTheme="minorEastAsia" w:hAnsiTheme="minorHAnsi"/>
            <w:b w:val="0"/>
            <w:noProof/>
            <w:sz w:val="22"/>
            <w:lang w:val="en-SE" w:eastAsia="en-SE"/>
          </w:rPr>
          <w:tab/>
        </w:r>
        <w:r w:rsidRPr="00597A6C">
          <w:rPr>
            <w:rStyle w:val="Hyperlink"/>
            <w:noProof/>
          </w:rPr>
          <w:t>The range of the DL Tx power adjustment is limited to ±10 dB.</w:t>
        </w:r>
      </w:hyperlink>
    </w:p>
    <w:p w14:paraId="747C743C" w14:textId="0DB9B1B2" w:rsidR="006E1C82" w:rsidRPr="00F3596B" w:rsidRDefault="006E1C82" w:rsidP="00745C25">
      <w:pPr>
        <w:pStyle w:val="BodyText"/>
        <w:rPr>
          <w:b/>
          <w:bCs/>
        </w:rPr>
      </w:pPr>
      <w:r w:rsidRPr="00F3596B">
        <w:rPr>
          <w:b/>
          <w:bCs/>
        </w:rPr>
        <w:fldChar w:fldCharType="end"/>
      </w:r>
    </w:p>
    <w:p w14:paraId="71D79D99" w14:textId="77777777" w:rsidR="00F507D1" w:rsidRPr="00F3596B" w:rsidRDefault="00F507D1" w:rsidP="00CE0424">
      <w:pPr>
        <w:pStyle w:val="Heading1"/>
        <w:rPr>
          <w:lang w:val="en-US"/>
        </w:rPr>
      </w:pPr>
      <w:bookmarkStart w:id="5" w:name="_In-sequence_SDU_delivery"/>
      <w:bookmarkEnd w:id="5"/>
      <w:r w:rsidRPr="00F3596B">
        <w:rPr>
          <w:lang w:val="en-US"/>
        </w:rPr>
        <w:t>References</w:t>
      </w:r>
    </w:p>
    <w:p w14:paraId="715CA09B" w14:textId="2FDE9772" w:rsidR="003A7EF3" w:rsidRDefault="00826E20" w:rsidP="00826E20">
      <w:pPr>
        <w:pStyle w:val="Reference"/>
      </w:pPr>
      <w:bookmarkStart w:id="6" w:name="_Ref174151459"/>
      <w:bookmarkStart w:id="7" w:name="_Ref189809556"/>
      <w:r w:rsidRPr="00826E20">
        <w:t>R1-2205710</w:t>
      </w:r>
      <w:r>
        <w:t xml:space="preserve"> (</w:t>
      </w:r>
      <w:r>
        <w:rPr>
          <w:rFonts w:eastAsia="SimSun" w:cs="Arial"/>
        </w:rPr>
        <w:t>R4-2210642</w:t>
      </w:r>
      <w:r>
        <w:t>)</w:t>
      </w:r>
      <w:r w:rsidR="005F3025" w:rsidRPr="00F3596B">
        <w:t xml:space="preserve">, </w:t>
      </w:r>
      <w:r>
        <w:t>“</w:t>
      </w:r>
      <w:r w:rsidRPr="00826E20">
        <w:t xml:space="preserve">LS on range of power control parameters for </w:t>
      </w:r>
      <w:proofErr w:type="spellStart"/>
      <w:r w:rsidRPr="00826E20">
        <w:t>eIAB</w:t>
      </w:r>
      <w:proofErr w:type="spellEnd"/>
      <w:r>
        <w:t>”</w:t>
      </w:r>
      <w:r w:rsidR="005F3025" w:rsidRPr="00F3596B">
        <w:t>, S</w:t>
      </w:r>
      <w:r>
        <w:t>amsung</w:t>
      </w:r>
      <w:r w:rsidR="005F3025" w:rsidRPr="00F3596B">
        <w:t xml:space="preserve">, </w:t>
      </w:r>
      <w:r>
        <w:t>RAN1 #110</w:t>
      </w:r>
      <w:r w:rsidR="005F3025" w:rsidRPr="00F3596B">
        <w:t xml:space="preserve">, </w:t>
      </w:r>
      <w:r>
        <w:t>August 2022.</w:t>
      </w:r>
      <w:bookmarkEnd w:id="6"/>
      <w:bookmarkEnd w:id="7"/>
    </w:p>
    <w:p w14:paraId="157E103B" w14:textId="1080D2B2" w:rsidR="00826E20" w:rsidRDefault="00826E20" w:rsidP="00826E20">
      <w:pPr>
        <w:pStyle w:val="Reference"/>
      </w:pPr>
      <w:bookmarkStart w:id="8" w:name="_Ref110419388"/>
      <w:r w:rsidRPr="00826E20">
        <w:t>R1-220</w:t>
      </w:r>
      <w:r>
        <w:t>0906 (</w:t>
      </w:r>
      <w:r>
        <w:rPr>
          <w:rFonts w:eastAsia="SimSun" w:cs="Arial"/>
        </w:rPr>
        <w:t>R4-2203020</w:t>
      </w:r>
      <w:r>
        <w:t>)</w:t>
      </w:r>
      <w:r w:rsidRPr="00F3596B">
        <w:t xml:space="preserve">, </w:t>
      </w:r>
      <w:r>
        <w:t>“</w:t>
      </w:r>
      <w:r w:rsidRPr="00826E20">
        <w:t xml:space="preserve">LS on range of power control parameters for </w:t>
      </w:r>
      <w:proofErr w:type="spellStart"/>
      <w:r w:rsidRPr="00826E20">
        <w:t>eIAB</w:t>
      </w:r>
      <w:proofErr w:type="spellEnd"/>
      <w:r>
        <w:t>”</w:t>
      </w:r>
      <w:r w:rsidRPr="00F3596B">
        <w:t>, S</w:t>
      </w:r>
      <w:r>
        <w:t>amsung</w:t>
      </w:r>
      <w:r w:rsidRPr="00F3596B">
        <w:t xml:space="preserve">, </w:t>
      </w:r>
      <w:r>
        <w:t>RAN1 #108-e</w:t>
      </w:r>
      <w:r w:rsidRPr="00F3596B">
        <w:t xml:space="preserve">, </w:t>
      </w:r>
      <w:r>
        <w:t>February 2022.</w:t>
      </w:r>
      <w:bookmarkEnd w:id="8"/>
    </w:p>
    <w:p w14:paraId="391FA5F2" w14:textId="7D267AAD" w:rsidR="00833319" w:rsidRPr="00745C25" w:rsidRDefault="00833319" w:rsidP="00745C25">
      <w:pPr>
        <w:pStyle w:val="Reference"/>
        <w:rPr>
          <w:lang w:val="en-GB"/>
          <w:rPrChange w:id="9" w:author="Author">
            <w:rPr/>
          </w:rPrChange>
        </w:rPr>
      </w:pPr>
      <w:bookmarkStart w:id="10" w:name="_Ref111134890"/>
      <w:bookmarkStart w:id="11" w:name="_Ref111232525"/>
      <w:r>
        <w:t xml:space="preserve">“RAN1 </w:t>
      </w:r>
      <w:r w:rsidRPr="008376B7">
        <w:t>Chair</w:t>
      </w:r>
      <w:r>
        <w:t>’</w:t>
      </w:r>
      <w:r w:rsidRPr="008376B7">
        <w:t>s Notes</w:t>
      </w:r>
      <w:r>
        <w:t>”,</w:t>
      </w:r>
      <w:r w:rsidRPr="008376B7">
        <w:t xml:space="preserve"> 3GPP TSG RAN WG1 #10</w:t>
      </w:r>
      <w:r>
        <w:t>8</w:t>
      </w:r>
      <w:r w:rsidRPr="008376B7">
        <w:t xml:space="preserve">-e, </w:t>
      </w:r>
      <w:r>
        <w:t xml:space="preserve">e-Meeting, February </w:t>
      </w:r>
      <w:r w:rsidRPr="008376B7">
        <w:t>202</w:t>
      </w:r>
      <w:bookmarkEnd w:id="10"/>
      <w:r>
        <w:t>2.</w:t>
      </w:r>
      <w:bookmarkEnd w:id="11"/>
    </w:p>
    <w:sectPr w:rsidR="00833319" w:rsidRPr="00745C2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A44E3" w14:textId="77777777" w:rsidR="007A44B6" w:rsidRDefault="007A44B6">
      <w:r>
        <w:separator/>
      </w:r>
    </w:p>
  </w:endnote>
  <w:endnote w:type="continuationSeparator" w:id="0">
    <w:p w14:paraId="5743F29A" w14:textId="77777777" w:rsidR="007A44B6" w:rsidRDefault="007A44B6">
      <w:r>
        <w:continuationSeparator/>
      </w:r>
    </w:p>
  </w:endnote>
  <w:endnote w:type="continuationNotice" w:id="1">
    <w:p w14:paraId="0B1AECA8" w14:textId="77777777" w:rsidR="00783F20" w:rsidRDefault="00783F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011FA" w14:textId="77777777" w:rsidR="007A44B6" w:rsidRDefault="007A44B6">
      <w:r>
        <w:separator/>
      </w:r>
    </w:p>
  </w:footnote>
  <w:footnote w:type="continuationSeparator" w:id="0">
    <w:p w14:paraId="77B94B91" w14:textId="77777777" w:rsidR="007A44B6" w:rsidRDefault="007A44B6">
      <w:r>
        <w:continuationSeparator/>
      </w:r>
    </w:p>
  </w:footnote>
  <w:footnote w:type="continuationNotice" w:id="1">
    <w:p w14:paraId="5E463573" w14:textId="77777777" w:rsidR="00783F20" w:rsidRDefault="00783F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C036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72CE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0A4FE2"/>
    <w:multiLevelType w:val="hybridMultilevel"/>
    <w:tmpl w:val="F48AE54E"/>
    <w:lvl w:ilvl="0" w:tplc="D496FEB4">
      <w:start w:val="1"/>
      <w:numFmt w:val="decimal"/>
      <w:lvlText w:val="%1."/>
      <w:lvlJc w:val="left"/>
      <w:pPr>
        <w:ind w:left="930" w:hanging="360"/>
      </w:pPr>
      <w:rPr>
        <w:rFonts w:hint="default"/>
      </w:rPr>
    </w:lvl>
    <w:lvl w:ilvl="1" w:tplc="20000019" w:tentative="1">
      <w:start w:val="1"/>
      <w:numFmt w:val="lowerLetter"/>
      <w:lvlText w:val="%2."/>
      <w:lvlJc w:val="left"/>
      <w:pPr>
        <w:ind w:left="1650" w:hanging="360"/>
      </w:pPr>
    </w:lvl>
    <w:lvl w:ilvl="2" w:tplc="2000001B" w:tentative="1">
      <w:start w:val="1"/>
      <w:numFmt w:val="lowerRoman"/>
      <w:lvlText w:val="%3."/>
      <w:lvlJc w:val="right"/>
      <w:pPr>
        <w:ind w:left="2370" w:hanging="180"/>
      </w:pPr>
    </w:lvl>
    <w:lvl w:ilvl="3" w:tplc="2000000F" w:tentative="1">
      <w:start w:val="1"/>
      <w:numFmt w:val="decimal"/>
      <w:lvlText w:val="%4."/>
      <w:lvlJc w:val="left"/>
      <w:pPr>
        <w:ind w:left="3090" w:hanging="360"/>
      </w:pPr>
    </w:lvl>
    <w:lvl w:ilvl="4" w:tplc="20000019" w:tentative="1">
      <w:start w:val="1"/>
      <w:numFmt w:val="lowerLetter"/>
      <w:lvlText w:val="%5."/>
      <w:lvlJc w:val="left"/>
      <w:pPr>
        <w:ind w:left="3810" w:hanging="360"/>
      </w:pPr>
    </w:lvl>
    <w:lvl w:ilvl="5" w:tplc="2000001B" w:tentative="1">
      <w:start w:val="1"/>
      <w:numFmt w:val="lowerRoman"/>
      <w:lvlText w:val="%6."/>
      <w:lvlJc w:val="right"/>
      <w:pPr>
        <w:ind w:left="4530" w:hanging="180"/>
      </w:pPr>
    </w:lvl>
    <w:lvl w:ilvl="6" w:tplc="2000000F" w:tentative="1">
      <w:start w:val="1"/>
      <w:numFmt w:val="decimal"/>
      <w:lvlText w:val="%7."/>
      <w:lvlJc w:val="left"/>
      <w:pPr>
        <w:ind w:left="5250" w:hanging="360"/>
      </w:pPr>
    </w:lvl>
    <w:lvl w:ilvl="7" w:tplc="20000019" w:tentative="1">
      <w:start w:val="1"/>
      <w:numFmt w:val="lowerLetter"/>
      <w:lvlText w:val="%8."/>
      <w:lvlJc w:val="left"/>
      <w:pPr>
        <w:ind w:left="5970" w:hanging="360"/>
      </w:pPr>
    </w:lvl>
    <w:lvl w:ilvl="8" w:tplc="2000001B" w:tentative="1">
      <w:start w:val="1"/>
      <w:numFmt w:val="lowerRoman"/>
      <w:lvlText w:val="%9."/>
      <w:lvlJc w:val="right"/>
      <w:pPr>
        <w:ind w:left="669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AA46647"/>
    <w:multiLevelType w:val="hybridMultilevel"/>
    <w:tmpl w:val="93ACAF46"/>
    <w:lvl w:ilvl="0" w:tplc="821C11E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8942A5"/>
    <w:multiLevelType w:val="hybridMultilevel"/>
    <w:tmpl w:val="8498287E"/>
    <w:lvl w:ilvl="0" w:tplc="8962EA78">
      <w:numFmt w:val="bullet"/>
      <w:lvlText w:val=""/>
      <w:lvlJc w:val="left"/>
      <w:pPr>
        <w:ind w:left="720" w:hanging="360"/>
      </w:pPr>
      <w:rPr>
        <w:rFonts w:ascii="Symbol" w:eastAsiaTheme="minorHAnsi" w:hAnsi="Symbol"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6"/>
  </w:num>
  <w:num w:numId="18">
    <w:abstractNumId w:val="7"/>
  </w:num>
  <w:num w:numId="19">
    <w:abstractNumId w:val="4"/>
  </w:num>
  <w:num w:numId="20">
    <w:abstractNumId w:val="24"/>
  </w:num>
  <w:num w:numId="21">
    <w:abstractNumId w:val="11"/>
  </w:num>
  <w:num w:numId="22">
    <w:abstractNumId w:val="23"/>
  </w:num>
  <w:num w:numId="23">
    <w:abstractNumId w:val="12"/>
  </w:num>
  <w:num w:numId="24">
    <w:abstractNumId w:val="21"/>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2B73"/>
    <w:rsid w:val="00015D15"/>
    <w:rsid w:val="00024B4D"/>
    <w:rsid w:val="0002564D"/>
    <w:rsid w:val="00025ECA"/>
    <w:rsid w:val="000325B8"/>
    <w:rsid w:val="00034C15"/>
    <w:rsid w:val="00036BA1"/>
    <w:rsid w:val="000422E2"/>
    <w:rsid w:val="00042F22"/>
    <w:rsid w:val="000444EF"/>
    <w:rsid w:val="00052A07"/>
    <w:rsid w:val="000534E3"/>
    <w:rsid w:val="00053621"/>
    <w:rsid w:val="0005606A"/>
    <w:rsid w:val="00057117"/>
    <w:rsid w:val="000616E7"/>
    <w:rsid w:val="000636CA"/>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566"/>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60"/>
    <w:rsid w:val="001346FA"/>
    <w:rsid w:val="00135252"/>
    <w:rsid w:val="00137AB5"/>
    <w:rsid w:val="00137F0B"/>
    <w:rsid w:val="001424AE"/>
    <w:rsid w:val="00151E23"/>
    <w:rsid w:val="001526E0"/>
    <w:rsid w:val="001551B5"/>
    <w:rsid w:val="001659C1"/>
    <w:rsid w:val="00172F22"/>
    <w:rsid w:val="00173A8E"/>
    <w:rsid w:val="0017502C"/>
    <w:rsid w:val="0018143F"/>
    <w:rsid w:val="00181FF8"/>
    <w:rsid w:val="00190AC1"/>
    <w:rsid w:val="0019341A"/>
    <w:rsid w:val="00197AED"/>
    <w:rsid w:val="00197DF9"/>
    <w:rsid w:val="001A1987"/>
    <w:rsid w:val="001A2564"/>
    <w:rsid w:val="001A6173"/>
    <w:rsid w:val="001A6CBA"/>
    <w:rsid w:val="001B0D97"/>
    <w:rsid w:val="001B3370"/>
    <w:rsid w:val="001B5A5D"/>
    <w:rsid w:val="001B7E52"/>
    <w:rsid w:val="001C1CE5"/>
    <w:rsid w:val="001C3D2A"/>
    <w:rsid w:val="001C620D"/>
    <w:rsid w:val="001D51BA"/>
    <w:rsid w:val="001D53E7"/>
    <w:rsid w:val="001D6342"/>
    <w:rsid w:val="001D6D53"/>
    <w:rsid w:val="001E58E2"/>
    <w:rsid w:val="001E7AED"/>
    <w:rsid w:val="001F3916"/>
    <w:rsid w:val="001F54C5"/>
    <w:rsid w:val="001F662C"/>
    <w:rsid w:val="001F7074"/>
    <w:rsid w:val="001F747F"/>
    <w:rsid w:val="00200490"/>
    <w:rsid w:val="00201F3A"/>
    <w:rsid w:val="00203F96"/>
    <w:rsid w:val="002069B2"/>
    <w:rsid w:val="00207FA3"/>
    <w:rsid w:val="00214DA8"/>
    <w:rsid w:val="00215423"/>
    <w:rsid w:val="002158FA"/>
    <w:rsid w:val="00220600"/>
    <w:rsid w:val="002224DB"/>
    <w:rsid w:val="002233E9"/>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289C"/>
    <w:rsid w:val="00264228"/>
    <w:rsid w:val="00264334"/>
    <w:rsid w:val="0026473E"/>
    <w:rsid w:val="00266214"/>
    <w:rsid w:val="00267C83"/>
    <w:rsid w:val="0027144F"/>
    <w:rsid w:val="00271813"/>
    <w:rsid w:val="00271F3A"/>
    <w:rsid w:val="00273278"/>
    <w:rsid w:val="002737F4"/>
    <w:rsid w:val="002805F5"/>
    <w:rsid w:val="00280751"/>
    <w:rsid w:val="0028280A"/>
    <w:rsid w:val="0028574C"/>
    <w:rsid w:val="00286ACD"/>
    <w:rsid w:val="00287838"/>
    <w:rsid w:val="002907B5"/>
    <w:rsid w:val="00292EB7"/>
    <w:rsid w:val="00296227"/>
    <w:rsid w:val="00296F44"/>
    <w:rsid w:val="0029777D"/>
    <w:rsid w:val="002A055E"/>
    <w:rsid w:val="002A1D4E"/>
    <w:rsid w:val="002A2869"/>
    <w:rsid w:val="002B24D6"/>
    <w:rsid w:val="002B4ABA"/>
    <w:rsid w:val="002C41E6"/>
    <w:rsid w:val="002D071A"/>
    <w:rsid w:val="002D34B2"/>
    <w:rsid w:val="002D48B0"/>
    <w:rsid w:val="002D5B37"/>
    <w:rsid w:val="002D7637"/>
    <w:rsid w:val="002E17F2"/>
    <w:rsid w:val="002E5C85"/>
    <w:rsid w:val="002E7CAE"/>
    <w:rsid w:val="002F13E4"/>
    <w:rsid w:val="002F2771"/>
    <w:rsid w:val="002F37A9"/>
    <w:rsid w:val="00301CE6"/>
    <w:rsid w:val="0030256B"/>
    <w:rsid w:val="00303143"/>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1E64"/>
    <w:rsid w:val="00342BD7"/>
    <w:rsid w:val="00346DB5"/>
    <w:rsid w:val="003477B1"/>
    <w:rsid w:val="003563AE"/>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3B98"/>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63F7"/>
    <w:rsid w:val="00437447"/>
    <w:rsid w:val="004406E9"/>
    <w:rsid w:val="00441A92"/>
    <w:rsid w:val="004431DC"/>
    <w:rsid w:val="00444F56"/>
    <w:rsid w:val="00446488"/>
    <w:rsid w:val="004517AA"/>
    <w:rsid w:val="00452CAC"/>
    <w:rsid w:val="00457565"/>
    <w:rsid w:val="00457B71"/>
    <w:rsid w:val="00464689"/>
    <w:rsid w:val="004669E2"/>
    <w:rsid w:val="00466D92"/>
    <w:rsid w:val="00470C31"/>
    <w:rsid w:val="00471DE0"/>
    <w:rsid w:val="004734D0"/>
    <w:rsid w:val="0047556B"/>
    <w:rsid w:val="00477768"/>
    <w:rsid w:val="00492BC5"/>
    <w:rsid w:val="004964F1"/>
    <w:rsid w:val="004A16BC"/>
    <w:rsid w:val="004A2B94"/>
    <w:rsid w:val="004B26D0"/>
    <w:rsid w:val="004B6F6A"/>
    <w:rsid w:val="004B7C0C"/>
    <w:rsid w:val="004C3898"/>
    <w:rsid w:val="004D31C5"/>
    <w:rsid w:val="004D36B1"/>
    <w:rsid w:val="004D7EBD"/>
    <w:rsid w:val="004E2680"/>
    <w:rsid w:val="004E28F9"/>
    <w:rsid w:val="004E462E"/>
    <w:rsid w:val="004E56DC"/>
    <w:rsid w:val="004E76F4"/>
    <w:rsid w:val="004F0B4E"/>
    <w:rsid w:val="004F0B6C"/>
    <w:rsid w:val="004F2078"/>
    <w:rsid w:val="004F4DA3"/>
    <w:rsid w:val="004F5AC1"/>
    <w:rsid w:val="004F6406"/>
    <w:rsid w:val="00506557"/>
    <w:rsid w:val="0050677A"/>
    <w:rsid w:val="005108D8"/>
    <w:rsid w:val="005116F9"/>
    <w:rsid w:val="005153A7"/>
    <w:rsid w:val="005219CF"/>
    <w:rsid w:val="005279A0"/>
    <w:rsid w:val="00534B59"/>
    <w:rsid w:val="00536759"/>
    <w:rsid w:val="00537C62"/>
    <w:rsid w:val="00546970"/>
    <w:rsid w:val="00554E19"/>
    <w:rsid w:val="0056121F"/>
    <w:rsid w:val="00572505"/>
    <w:rsid w:val="00582809"/>
    <w:rsid w:val="00582E15"/>
    <w:rsid w:val="0058798C"/>
    <w:rsid w:val="005900FA"/>
    <w:rsid w:val="005935A4"/>
    <w:rsid w:val="005948C2"/>
    <w:rsid w:val="00595DCA"/>
    <w:rsid w:val="0059779B"/>
    <w:rsid w:val="005A209A"/>
    <w:rsid w:val="005A662D"/>
    <w:rsid w:val="005B1409"/>
    <w:rsid w:val="005B28CE"/>
    <w:rsid w:val="005B35D7"/>
    <w:rsid w:val="005B392A"/>
    <w:rsid w:val="005B3AA3"/>
    <w:rsid w:val="005B6F83"/>
    <w:rsid w:val="005C74FB"/>
    <w:rsid w:val="005D1602"/>
    <w:rsid w:val="005E385F"/>
    <w:rsid w:val="005E5B81"/>
    <w:rsid w:val="005E7EA9"/>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7EB"/>
    <w:rsid w:val="00636398"/>
    <w:rsid w:val="006368D3"/>
    <w:rsid w:val="006377EC"/>
    <w:rsid w:val="0064151F"/>
    <w:rsid w:val="00641533"/>
    <w:rsid w:val="0064208D"/>
    <w:rsid w:val="00643475"/>
    <w:rsid w:val="0064396A"/>
    <w:rsid w:val="0064624E"/>
    <w:rsid w:val="00650AB9"/>
    <w:rsid w:val="006551E0"/>
    <w:rsid w:val="00655733"/>
    <w:rsid w:val="00655ACD"/>
    <w:rsid w:val="00656A92"/>
    <w:rsid w:val="00656DDE"/>
    <w:rsid w:val="0066011D"/>
    <w:rsid w:val="006607C0"/>
    <w:rsid w:val="006613A6"/>
    <w:rsid w:val="006627A2"/>
    <w:rsid w:val="006634E6"/>
    <w:rsid w:val="0066449F"/>
    <w:rsid w:val="006655EE"/>
    <w:rsid w:val="00667EE7"/>
    <w:rsid w:val="00670922"/>
    <w:rsid w:val="00670BE1"/>
    <w:rsid w:val="0067218F"/>
    <w:rsid w:val="006741F2"/>
    <w:rsid w:val="00674CC3"/>
    <w:rsid w:val="00675C72"/>
    <w:rsid w:val="00676EBD"/>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829"/>
    <w:rsid w:val="00704EDB"/>
    <w:rsid w:val="00706101"/>
    <w:rsid w:val="00707072"/>
    <w:rsid w:val="00707D61"/>
    <w:rsid w:val="00712287"/>
    <w:rsid w:val="00712772"/>
    <w:rsid w:val="007148D3"/>
    <w:rsid w:val="00715380"/>
    <w:rsid w:val="00715B9A"/>
    <w:rsid w:val="00721B32"/>
    <w:rsid w:val="007257D0"/>
    <w:rsid w:val="00726EA6"/>
    <w:rsid w:val="00727208"/>
    <w:rsid w:val="00727680"/>
    <w:rsid w:val="007348B1"/>
    <w:rsid w:val="007362A6"/>
    <w:rsid w:val="00736D7D"/>
    <w:rsid w:val="00740E58"/>
    <w:rsid w:val="007445A0"/>
    <w:rsid w:val="0074524B"/>
    <w:rsid w:val="00745C25"/>
    <w:rsid w:val="00747D8B"/>
    <w:rsid w:val="00751228"/>
    <w:rsid w:val="007571E1"/>
    <w:rsid w:val="007604B2"/>
    <w:rsid w:val="00765281"/>
    <w:rsid w:val="0076573D"/>
    <w:rsid w:val="00766BAD"/>
    <w:rsid w:val="007729A2"/>
    <w:rsid w:val="007755F2"/>
    <w:rsid w:val="00776971"/>
    <w:rsid w:val="00780A80"/>
    <w:rsid w:val="0078177E"/>
    <w:rsid w:val="0078304C"/>
    <w:rsid w:val="00783673"/>
    <w:rsid w:val="00783F20"/>
    <w:rsid w:val="00785490"/>
    <w:rsid w:val="007925EA"/>
    <w:rsid w:val="00793CD8"/>
    <w:rsid w:val="00795C92"/>
    <w:rsid w:val="00796231"/>
    <w:rsid w:val="007A16F7"/>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7526"/>
    <w:rsid w:val="007E307A"/>
    <w:rsid w:val="007E4610"/>
    <w:rsid w:val="007E4715"/>
    <w:rsid w:val="007E505B"/>
    <w:rsid w:val="007E7091"/>
    <w:rsid w:val="00803FAE"/>
    <w:rsid w:val="0080605F"/>
    <w:rsid w:val="00807786"/>
    <w:rsid w:val="00811FCB"/>
    <w:rsid w:val="00813E98"/>
    <w:rsid w:val="008158D6"/>
    <w:rsid w:val="00817196"/>
    <w:rsid w:val="008235DB"/>
    <w:rsid w:val="00824AB4"/>
    <w:rsid w:val="00825C42"/>
    <w:rsid w:val="00825D25"/>
    <w:rsid w:val="00826E20"/>
    <w:rsid w:val="00827D6F"/>
    <w:rsid w:val="00833319"/>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A38"/>
    <w:rsid w:val="00877F18"/>
    <w:rsid w:val="00881D61"/>
    <w:rsid w:val="008941E3"/>
    <w:rsid w:val="00894A88"/>
    <w:rsid w:val="00895386"/>
    <w:rsid w:val="008A21FF"/>
    <w:rsid w:val="008A2CE2"/>
    <w:rsid w:val="008A30AC"/>
    <w:rsid w:val="008A44B8"/>
    <w:rsid w:val="008A51A8"/>
    <w:rsid w:val="008A54C7"/>
    <w:rsid w:val="008A58A1"/>
    <w:rsid w:val="008A75FA"/>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7FB"/>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D30"/>
    <w:rsid w:val="0097603D"/>
    <w:rsid w:val="0097674F"/>
    <w:rsid w:val="00976949"/>
    <w:rsid w:val="00980477"/>
    <w:rsid w:val="0098249B"/>
    <w:rsid w:val="00985253"/>
    <w:rsid w:val="009853B3"/>
    <w:rsid w:val="00990630"/>
    <w:rsid w:val="00991761"/>
    <w:rsid w:val="00994DCA"/>
    <w:rsid w:val="009960EC"/>
    <w:rsid w:val="009970DD"/>
    <w:rsid w:val="009A0FBA"/>
    <w:rsid w:val="009A1601"/>
    <w:rsid w:val="009A3BB6"/>
    <w:rsid w:val="009A462D"/>
    <w:rsid w:val="009A5CBA"/>
    <w:rsid w:val="009B01A1"/>
    <w:rsid w:val="009B08FA"/>
    <w:rsid w:val="009B1F30"/>
    <w:rsid w:val="009B3AC2"/>
    <w:rsid w:val="009B4DF4"/>
    <w:rsid w:val="009B564E"/>
    <w:rsid w:val="009B70CC"/>
    <w:rsid w:val="009B7E87"/>
    <w:rsid w:val="009C0169"/>
    <w:rsid w:val="009C403E"/>
    <w:rsid w:val="009D0744"/>
    <w:rsid w:val="009D0E33"/>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5C09"/>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2AC5"/>
    <w:rsid w:val="00AB4AB8"/>
    <w:rsid w:val="00AB655E"/>
    <w:rsid w:val="00AC007F"/>
    <w:rsid w:val="00AC2ECD"/>
    <w:rsid w:val="00AC3119"/>
    <w:rsid w:val="00AC49FB"/>
    <w:rsid w:val="00AC5A10"/>
    <w:rsid w:val="00AD0AA3"/>
    <w:rsid w:val="00AD2ED0"/>
    <w:rsid w:val="00AD3F94"/>
    <w:rsid w:val="00AD4A5A"/>
    <w:rsid w:val="00AD72B3"/>
    <w:rsid w:val="00AE27AC"/>
    <w:rsid w:val="00AE40E0"/>
    <w:rsid w:val="00AE4DBA"/>
    <w:rsid w:val="00AE4F07"/>
    <w:rsid w:val="00AF1C5D"/>
    <w:rsid w:val="00AF42D7"/>
    <w:rsid w:val="00B006FE"/>
    <w:rsid w:val="00B007CB"/>
    <w:rsid w:val="00B02AA9"/>
    <w:rsid w:val="00B02FA3"/>
    <w:rsid w:val="00B05084"/>
    <w:rsid w:val="00B14B40"/>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901"/>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663D3"/>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64A1"/>
    <w:rsid w:val="00CB7170"/>
    <w:rsid w:val="00CC040E"/>
    <w:rsid w:val="00CC111F"/>
    <w:rsid w:val="00CC2011"/>
    <w:rsid w:val="00CC3EA0"/>
    <w:rsid w:val="00CC7B45"/>
    <w:rsid w:val="00CD1188"/>
    <w:rsid w:val="00CD2ED1"/>
    <w:rsid w:val="00CD337B"/>
    <w:rsid w:val="00CE0424"/>
    <w:rsid w:val="00CE341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AD1"/>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222B"/>
    <w:rsid w:val="00DE5608"/>
    <w:rsid w:val="00DE58D0"/>
    <w:rsid w:val="00DE654F"/>
    <w:rsid w:val="00DE6589"/>
    <w:rsid w:val="00DF0B6E"/>
    <w:rsid w:val="00DF15E0"/>
    <w:rsid w:val="00DF37A0"/>
    <w:rsid w:val="00E110E7"/>
    <w:rsid w:val="00E11B20"/>
    <w:rsid w:val="00E1644F"/>
    <w:rsid w:val="00E17FA2"/>
    <w:rsid w:val="00E22330"/>
    <w:rsid w:val="00E30B5A"/>
    <w:rsid w:val="00E3123D"/>
    <w:rsid w:val="00E31461"/>
    <w:rsid w:val="00E31D43"/>
    <w:rsid w:val="00E32608"/>
    <w:rsid w:val="00E3314A"/>
    <w:rsid w:val="00E34188"/>
    <w:rsid w:val="00E34B6E"/>
    <w:rsid w:val="00E35559"/>
    <w:rsid w:val="00E3723A"/>
    <w:rsid w:val="00E37860"/>
    <w:rsid w:val="00E40D93"/>
    <w:rsid w:val="00E446F1"/>
    <w:rsid w:val="00E46886"/>
    <w:rsid w:val="00E47AEF"/>
    <w:rsid w:val="00E53B75"/>
    <w:rsid w:val="00E54E3B"/>
    <w:rsid w:val="00E57565"/>
    <w:rsid w:val="00E62E18"/>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0A84"/>
    <w:rsid w:val="00EF18FE"/>
    <w:rsid w:val="00EF5787"/>
    <w:rsid w:val="00EF60D0"/>
    <w:rsid w:val="00F0528D"/>
    <w:rsid w:val="00F06C67"/>
    <w:rsid w:val="00F06DFD"/>
    <w:rsid w:val="00F071D1"/>
    <w:rsid w:val="00F07533"/>
    <w:rsid w:val="00F10629"/>
    <w:rsid w:val="00F10C64"/>
    <w:rsid w:val="00F13028"/>
    <w:rsid w:val="00F15FA5"/>
    <w:rsid w:val="00F209B7"/>
    <w:rsid w:val="00F2376F"/>
    <w:rsid w:val="00F243D8"/>
    <w:rsid w:val="00F30828"/>
    <w:rsid w:val="00F313D6"/>
    <w:rsid w:val="00F3596B"/>
    <w:rsid w:val="00F3759E"/>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3095"/>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3CAA"/>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663D3"/>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C663D3"/>
    <w:pPr>
      <w:spacing w:before="120" w:after="120"/>
      <w:jc w:val="center"/>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551E0"/>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xmsonormal">
    <w:name w:val="x_msonormal"/>
    <w:basedOn w:val="Normal"/>
    <w:qFormat/>
    <w:rsid w:val="0097674F"/>
    <w:pPr>
      <w:spacing w:after="0" w:line="240" w:lineRule="auto"/>
      <w:jc w:val="left"/>
    </w:pPr>
    <w:rPr>
      <w:rFonts w:ascii="Calibri" w:eastAsia="Calibri" w:hAnsi="Calibri" w:cs="Calibri"/>
      <w:sz w:val="22"/>
    </w:rPr>
  </w:style>
  <w:style w:type="paragraph" w:styleId="Revision">
    <w:name w:val="Revision"/>
    <w:hidden/>
    <w:uiPriority w:val="99"/>
    <w:semiHidden/>
    <w:rsid w:val="00582E15"/>
    <w:rPr>
      <w:rFonts w:ascii="Arial" w:eastAsiaTheme="minorHAnsi" w:hAnsi="Arial" w:cstheme="minorBidi"/>
      <w:szCs w:val="22"/>
      <w:lang w:val="en-US" w:eastAsia="en-US"/>
    </w:rPr>
  </w:style>
  <w:style w:type="character" w:customStyle="1" w:styleId="ReferenceChar">
    <w:name w:val="Reference Char"/>
    <w:link w:val="Reference"/>
    <w:rsid w:val="00833319"/>
    <w:rPr>
      <w:rFonts w:ascii="Arial" w:eastAsiaTheme="minorHAnsi" w:hAnsi="Arial"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45C74-657E-4674-8560-8F50A3727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810</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5115</CharactersWithSpaces>
  <SharedDoc>false</SharedDoc>
  <HLinks>
    <vt:vector size="12" baseType="variant">
      <vt:variant>
        <vt:i4>1310781</vt:i4>
      </vt:variant>
      <vt:variant>
        <vt:i4>20</vt:i4>
      </vt:variant>
      <vt:variant>
        <vt:i4>0</vt:i4>
      </vt:variant>
      <vt:variant>
        <vt:i4>5</vt:i4>
      </vt:variant>
      <vt:variant>
        <vt:lpwstr/>
      </vt:variant>
      <vt:variant>
        <vt:lpwstr>_Toc509923397</vt:lpwstr>
      </vt:variant>
      <vt:variant>
        <vt:i4>1310781</vt:i4>
      </vt:variant>
      <vt:variant>
        <vt:i4>14</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2022-08-12T20:08:00Z</dcterms:created>
  <dcterms:modified xsi:type="dcterms:W3CDTF">2022-08-12T20:38:00Z</dcterms:modified>
  <cp:category/>
</cp:coreProperties>
</file>